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910"/>
      </w:tblGrid>
      <w:tr w:rsidR="00CB77E0" w:rsidRPr="00CB77E0" w:rsidTr="00CB77E0">
        <w:trPr>
          <w:trHeight w:val="855"/>
        </w:trPr>
        <w:tc>
          <w:tcPr>
            <w:tcW w:w="11910" w:type="dxa"/>
          </w:tcPr>
          <w:p w:rsidR="00CB77E0" w:rsidRPr="004259DB" w:rsidRDefault="00C04B15" w:rsidP="00CB7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0;text-align:left;margin-left:591.75pt;margin-top:18.7pt;width:36.55pt;height:0;flip:x;z-index:251664384" o:connectortype="straight"/>
              </w:pict>
            </w:r>
            <w:r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pict>
                <v:shape id="_x0000_s1039" type="#_x0000_t32" style="position:absolute;left:0;text-align:left;margin-left:-50.9pt;margin-top:6.85pt;width:40.85pt;height:0;z-index:251663360" o:connectortype="straight"/>
              </w:pict>
            </w:r>
            <w:r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pict>
                <v:shape id="_x0000_s1030" type="#_x0000_t32" style="position:absolute;left:0;text-align:left;margin-left:628.3pt;margin-top:18.7pt;width:0;height:36.55pt;z-index:25165926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pict>
                <v:shape id="_x0000_s1029" type="#_x0000_t32" style="position:absolute;left:0;text-align:left;margin-left:-50.9pt;margin-top:6.85pt;width:0;height:48.4pt;z-index:251658240" o:connectortype="straight">
                  <v:stroke endarrow="block"/>
                </v:shape>
              </w:pict>
            </w:r>
            <w:r w:rsidR="00CB77E0" w:rsidRPr="004259DB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El APRENDIZAJE ESCOLAR: DE LA DIDÁCTICA OPERATORIA A LA RECONSTRUCCIÓN DE LA CULTURA EN EL AULA</w:t>
            </w:r>
          </w:p>
        </w:tc>
      </w:tr>
    </w:tbl>
    <w:p w:rsidR="00CB77E0" w:rsidRDefault="00C04B15" w:rsidP="00CB77E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38" type="#_x0000_t32" style="position:absolute;left:0;text-align:left;margin-left:506.2pt;margin-top:5.55pt;width:1.1pt;height:13.95pt;z-index:251662336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es-ES"/>
        </w:rPr>
        <w:pict>
          <v:shape id="_x0000_s1034" type="#_x0000_t32" style="position:absolute;left:0;text-align:left;margin-left:338.6pt;margin-top:5.55pt;width:0;height:13.95pt;z-index:251661312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es-ES"/>
        </w:rPr>
        <w:pict>
          <v:shape id="_x0000_s1031" type="#_x0000_t32" style="position:absolute;left:0;text-align:left;margin-left:178.45pt;margin-top:5.55pt;width:0;height:13.95pt;z-index:251660288;mso-position-horizontal-relative:text;mso-position-vertical-relative:text" o:connectortype="straight">
            <v:stroke endarrow="block"/>
          </v:shape>
        </w:pict>
      </w:r>
    </w:p>
    <w:tbl>
      <w:tblPr>
        <w:tblW w:w="14938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57"/>
        <w:gridCol w:w="688"/>
        <w:gridCol w:w="2278"/>
        <w:gridCol w:w="752"/>
        <w:gridCol w:w="2536"/>
        <w:gridCol w:w="967"/>
        <w:gridCol w:w="2386"/>
        <w:gridCol w:w="860"/>
        <w:gridCol w:w="2214"/>
      </w:tblGrid>
      <w:tr w:rsidR="00CB77E0" w:rsidTr="004259DB">
        <w:trPr>
          <w:trHeight w:val="979"/>
        </w:trPr>
        <w:tc>
          <w:tcPr>
            <w:tcW w:w="2257" w:type="dxa"/>
          </w:tcPr>
          <w:p w:rsidR="00CB77E0" w:rsidRPr="004259DB" w:rsidRDefault="00C04B15" w:rsidP="00CB77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pict>
                <v:shape id="_x0000_s1041" type="#_x0000_t32" style="position:absolute;left:0;text-align:left;margin-left:44.85pt;margin-top:56.65pt;width:0;height:19.3pt;z-index:251665408" o:connectortype="straight">
                  <v:stroke endarrow="block"/>
                </v:shape>
              </w:pict>
            </w:r>
            <w:r w:rsidR="00CB77E0" w:rsidRPr="004259DB">
              <w:rPr>
                <w:rFonts w:ascii="Arial" w:hAnsi="Arial" w:cs="Arial"/>
                <w:sz w:val="24"/>
                <w:szCs w:val="24"/>
              </w:rPr>
              <w:t>La didáctica operatoria.</w:t>
            </w:r>
          </w:p>
        </w:tc>
        <w:tc>
          <w:tcPr>
            <w:tcW w:w="688" w:type="dxa"/>
            <w:tcBorders>
              <w:top w:val="nil"/>
              <w:bottom w:val="nil"/>
            </w:tcBorders>
            <w:shd w:val="clear" w:color="auto" w:fill="auto"/>
          </w:tcPr>
          <w:p w:rsidR="00CB77E0" w:rsidRPr="004259DB" w:rsidRDefault="00CB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B77E0" w:rsidRPr="004259DB" w:rsidRDefault="00CB77E0">
            <w:pPr>
              <w:rPr>
                <w:rFonts w:ascii="Arial" w:hAnsi="Arial" w:cs="Arial"/>
                <w:sz w:val="24"/>
                <w:szCs w:val="24"/>
              </w:rPr>
            </w:pPr>
            <w:r w:rsidRPr="004259DB">
              <w:rPr>
                <w:rFonts w:ascii="Arial" w:hAnsi="Arial" w:cs="Arial"/>
                <w:sz w:val="24"/>
                <w:szCs w:val="24"/>
              </w:rPr>
              <w:t>La incorporación del concepto de cultura.</w:t>
            </w:r>
          </w:p>
        </w:tc>
        <w:tc>
          <w:tcPr>
            <w:tcW w:w="752" w:type="dxa"/>
            <w:tcBorders>
              <w:top w:val="nil"/>
              <w:bottom w:val="nil"/>
            </w:tcBorders>
            <w:shd w:val="clear" w:color="auto" w:fill="auto"/>
          </w:tcPr>
          <w:p w:rsidR="00CB77E0" w:rsidRPr="004259DB" w:rsidRDefault="00CB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CB77E0" w:rsidRPr="004259DB" w:rsidRDefault="00CB77E0">
            <w:pPr>
              <w:rPr>
                <w:rFonts w:ascii="Arial" w:hAnsi="Arial" w:cs="Arial"/>
                <w:sz w:val="24"/>
                <w:szCs w:val="24"/>
              </w:rPr>
            </w:pPr>
            <w:r w:rsidRPr="004259DB">
              <w:rPr>
                <w:rFonts w:ascii="Arial" w:hAnsi="Arial" w:cs="Arial"/>
                <w:sz w:val="24"/>
                <w:szCs w:val="24"/>
              </w:rPr>
              <w:t>Aprender la cultura.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auto"/>
          </w:tcPr>
          <w:p w:rsidR="00CB77E0" w:rsidRPr="004259DB" w:rsidRDefault="00CB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CB77E0" w:rsidRPr="004259DB" w:rsidRDefault="00CB77E0">
            <w:pPr>
              <w:rPr>
                <w:rFonts w:ascii="Arial" w:hAnsi="Arial" w:cs="Arial"/>
                <w:sz w:val="24"/>
                <w:szCs w:val="24"/>
              </w:rPr>
            </w:pPr>
            <w:r w:rsidRPr="004259DB">
              <w:rPr>
                <w:rFonts w:ascii="Arial" w:hAnsi="Arial" w:cs="Arial"/>
                <w:sz w:val="24"/>
                <w:szCs w:val="24"/>
              </w:rPr>
              <w:t>Cultura académica y cultura experiencial.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CB77E0" w:rsidRPr="004259DB" w:rsidRDefault="00CB7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  <w:shd w:val="clear" w:color="auto" w:fill="auto"/>
          </w:tcPr>
          <w:p w:rsidR="00CB77E0" w:rsidRPr="004259DB" w:rsidRDefault="004259DB">
            <w:pPr>
              <w:rPr>
                <w:rFonts w:ascii="Arial" w:hAnsi="Arial" w:cs="Arial"/>
                <w:sz w:val="24"/>
                <w:szCs w:val="24"/>
              </w:rPr>
            </w:pPr>
            <w:r w:rsidRPr="004259DB">
              <w:rPr>
                <w:rFonts w:ascii="Arial" w:hAnsi="Arial" w:cs="Arial"/>
                <w:sz w:val="24"/>
                <w:szCs w:val="24"/>
              </w:rPr>
              <w:t>Realidad, ciencia y cultura.</w:t>
            </w:r>
          </w:p>
        </w:tc>
      </w:tr>
    </w:tbl>
    <w:p w:rsidR="004259DB" w:rsidRDefault="00C04B15" w:rsidP="00CB77E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45" type="#_x0000_t32" style="position:absolute;left:0;text-align:left;margin-left:707.2pt;margin-top:3.9pt;width:0;height:13.95pt;z-index:251669504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es-ES"/>
        </w:rPr>
        <w:pict>
          <v:shape id="_x0000_s1044" type="#_x0000_t32" style="position:absolute;left:0;text-align:left;margin-left:507.3pt;margin-top:3.9pt;width:0;height:13.95pt;z-index:251668480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es-ES"/>
        </w:rPr>
        <w:pict>
          <v:shape id="_x0000_s1043" type="#_x0000_t32" style="position:absolute;left:0;text-align:left;margin-left:338.6pt;margin-top:3.9pt;width:0;height:13.95pt;z-index:251667456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es-ES"/>
        </w:rPr>
        <w:pict>
          <v:shape id="_x0000_s1042" type="#_x0000_t32" style="position:absolute;left:0;text-align:left;margin-left:178.45pt;margin-top:3.9pt;width:0;height:13.95pt;z-index:251666432;mso-position-horizontal-relative:text;mso-position-vertical-relative:text" o:connectortype="straight">
            <v:stroke endarrow="block"/>
          </v:shape>
        </w:pict>
      </w:r>
    </w:p>
    <w:tbl>
      <w:tblPr>
        <w:tblW w:w="14829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8"/>
        <w:gridCol w:w="731"/>
        <w:gridCol w:w="2192"/>
        <w:gridCol w:w="795"/>
        <w:gridCol w:w="2536"/>
        <w:gridCol w:w="881"/>
        <w:gridCol w:w="2407"/>
        <w:gridCol w:w="967"/>
        <w:gridCol w:w="2192"/>
      </w:tblGrid>
      <w:tr w:rsidR="004259DB" w:rsidTr="004259DB">
        <w:trPr>
          <w:trHeight w:val="4957"/>
        </w:trPr>
        <w:tc>
          <w:tcPr>
            <w:tcW w:w="2128" w:type="dxa"/>
          </w:tcPr>
          <w:p w:rsidR="004259DB" w:rsidRPr="004259DB" w:rsidRDefault="004259DB" w:rsidP="0042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</w:t>
            </w:r>
            <w:r w:rsidRPr="004259DB">
              <w:rPr>
                <w:rFonts w:ascii="Arial" w:hAnsi="Arial" w:cs="Arial"/>
                <w:sz w:val="24"/>
                <w:szCs w:val="24"/>
              </w:rPr>
              <w:t>fundamental de la educación la reconstrucción del</w:t>
            </w:r>
          </w:p>
          <w:p w:rsidR="004259DB" w:rsidRPr="004259DB" w:rsidRDefault="004259DB" w:rsidP="004259DB">
            <w:pPr>
              <w:rPr>
                <w:rFonts w:ascii="Arial" w:hAnsi="Arial" w:cs="Arial"/>
                <w:sz w:val="24"/>
                <w:szCs w:val="24"/>
              </w:rPr>
            </w:pPr>
            <w:r w:rsidRPr="004259DB">
              <w:rPr>
                <w:rFonts w:ascii="Arial" w:hAnsi="Arial" w:cs="Arial"/>
                <w:sz w:val="24"/>
                <w:szCs w:val="24"/>
              </w:rPr>
              <w:t>Conocimiento individual a partir de la reinvención de la cultura.</w:t>
            </w:r>
            <w:r>
              <w:rPr>
                <w:rFonts w:ascii="Arial" w:hAnsi="Arial" w:cs="Arial"/>
                <w:sz w:val="24"/>
                <w:szCs w:val="24"/>
              </w:rPr>
              <w:t xml:space="preserve"> La </w:t>
            </w:r>
            <w:r w:rsidRPr="004259DB">
              <w:rPr>
                <w:rFonts w:ascii="Arial" w:hAnsi="Arial" w:cs="Arial"/>
                <w:sz w:val="24"/>
                <w:szCs w:val="24"/>
              </w:rPr>
              <w:t>enseñanza debe centrarse en el desarrollo de capacidades formales, operativas y no en la</w:t>
            </w: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4259DB">
              <w:rPr>
                <w:rFonts w:ascii="Arial" w:hAnsi="Arial" w:cs="Arial"/>
                <w:sz w:val="24"/>
                <w:szCs w:val="24"/>
              </w:rPr>
              <w:t>ransmisión de contenido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731" w:type="dxa"/>
            <w:tcBorders>
              <w:top w:val="nil"/>
              <w:bottom w:val="nil"/>
            </w:tcBorders>
            <w:shd w:val="clear" w:color="auto" w:fill="auto"/>
          </w:tcPr>
          <w:p w:rsidR="004259DB" w:rsidRDefault="004259DB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4259DB" w:rsidRPr="004259DB" w:rsidRDefault="004259DB" w:rsidP="0042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9DB">
              <w:rPr>
                <w:rFonts w:ascii="Arial" w:hAnsi="Arial" w:cs="Arial"/>
                <w:sz w:val="24"/>
                <w:szCs w:val="24"/>
              </w:rPr>
              <w:t>El desarrollo del niño está siempre mediatizado por importantes determinaciones culturales. Las formas, colores, estructura,</w:t>
            </w:r>
          </w:p>
          <w:p w:rsidR="004259DB" w:rsidRPr="004259DB" w:rsidRDefault="004259DB" w:rsidP="0042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9DB">
              <w:rPr>
                <w:rFonts w:ascii="Arial" w:hAnsi="Arial" w:cs="Arial"/>
                <w:sz w:val="24"/>
                <w:szCs w:val="24"/>
              </w:rPr>
              <w:t>configuración espacial y temporal de los objetos y sistemas físicos que componen el contexto individual del niño responden a una in</w:t>
            </w:r>
            <w:r>
              <w:rPr>
                <w:rFonts w:ascii="Arial" w:hAnsi="Arial" w:cs="Arial"/>
                <w:sz w:val="24"/>
                <w:szCs w:val="24"/>
              </w:rPr>
              <w:t>tencionalidad social y cultural.</w:t>
            </w:r>
          </w:p>
        </w:tc>
        <w:tc>
          <w:tcPr>
            <w:tcW w:w="795" w:type="dxa"/>
            <w:tcBorders>
              <w:top w:val="nil"/>
              <w:bottom w:val="nil"/>
            </w:tcBorders>
            <w:shd w:val="clear" w:color="auto" w:fill="auto"/>
          </w:tcPr>
          <w:p w:rsidR="004259DB" w:rsidRPr="004259DB" w:rsidRDefault="004259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</w:tcPr>
          <w:p w:rsidR="004259DB" w:rsidRPr="004259DB" w:rsidRDefault="004259DB" w:rsidP="0042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Los formatos d interacción </w:t>
            </w:r>
            <w:r w:rsidRPr="004259DB">
              <w:rPr>
                <w:rFonts w:ascii="Arial" w:hAnsi="Arial" w:cs="Arial"/>
                <w:sz w:val="24"/>
                <w:szCs w:val="24"/>
              </w:rPr>
              <w:t>son microcosmos de interacción social que establecen unas pautas</w:t>
            </w:r>
          </w:p>
          <w:p w:rsidR="004259DB" w:rsidRPr="004259DB" w:rsidRDefault="004259DB" w:rsidP="0042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9DB">
              <w:rPr>
                <w:rFonts w:ascii="Arial" w:hAnsi="Arial" w:cs="Arial"/>
                <w:sz w:val="24"/>
                <w:szCs w:val="24"/>
              </w:rPr>
              <w:t>sencillas y repetitivas que regulan los intercamb</w:t>
            </w:r>
            <w:r>
              <w:rPr>
                <w:rFonts w:ascii="Arial" w:hAnsi="Arial" w:cs="Arial"/>
                <w:sz w:val="24"/>
                <w:szCs w:val="24"/>
              </w:rPr>
              <w:t>ios, estos son creados por el adulto</w:t>
            </w:r>
            <w:r w:rsidRPr="004259DB">
              <w:rPr>
                <w:rFonts w:ascii="Arial" w:hAnsi="Arial" w:cs="Arial"/>
                <w:sz w:val="24"/>
                <w:szCs w:val="24"/>
              </w:rPr>
              <w:t xml:space="preserve"> en la interacción con el</w:t>
            </w:r>
          </w:p>
          <w:p w:rsidR="004259DB" w:rsidRPr="004259DB" w:rsidRDefault="004259DB" w:rsidP="004259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niño </w:t>
            </w:r>
            <w:r w:rsidRPr="004259DB">
              <w:rPr>
                <w:rFonts w:ascii="Arial" w:hAnsi="Arial" w:cs="Arial"/>
                <w:sz w:val="24"/>
                <w:szCs w:val="24"/>
              </w:rPr>
              <w:t>y aprendidos por éste hasta que no sólo los utiliza sino que los interioriza y verbaliza</w:t>
            </w:r>
          </w:p>
        </w:tc>
        <w:tc>
          <w:tcPr>
            <w:tcW w:w="881" w:type="dxa"/>
            <w:tcBorders>
              <w:top w:val="nil"/>
              <w:bottom w:val="nil"/>
            </w:tcBorders>
            <w:shd w:val="clear" w:color="auto" w:fill="auto"/>
          </w:tcPr>
          <w:p w:rsidR="004259DB" w:rsidRDefault="004259DB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259DB" w:rsidRPr="004259DB" w:rsidRDefault="004259DB" w:rsidP="0042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4259DB">
              <w:rPr>
                <w:rFonts w:ascii="Arial" w:hAnsi="Arial" w:cs="Arial"/>
                <w:sz w:val="24"/>
                <w:szCs w:val="24"/>
              </w:rPr>
              <w:t>odo aprendizaje,</w:t>
            </w:r>
          </w:p>
          <w:p w:rsidR="004259DB" w:rsidRPr="004259DB" w:rsidRDefault="004259DB" w:rsidP="004259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9DB">
              <w:rPr>
                <w:rFonts w:ascii="Arial" w:hAnsi="Arial" w:cs="Arial"/>
                <w:sz w:val="24"/>
                <w:szCs w:val="24"/>
              </w:rPr>
              <w:t>que se aprende queda ligado al contexto en que se ha aprendido.</w:t>
            </w:r>
            <w:r>
              <w:rPr>
                <w:rFonts w:ascii="Arial" w:hAnsi="Arial" w:cs="Arial"/>
                <w:sz w:val="24"/>
                <w:szCs w:val="24"/>
              </w:rPr>
              <w:t xml:space="preserve"> Lo mejor para evitar confusión  entre estas dos es </w:t>
            </w:r>
            <w:r w:rsidRPr="004259DB">
              <w:rPr>
                <w:rFonts w:ascii="Arial" w:hAnsi="Arial" w:cs="Arial"/>
                <w:sz w:val="24"/>
                <w:szCs w:val="24"/>
              </w:rPr>
              <w:t>crear espacios de diálogo, de significado compartido entre el ámbito del</w:t>
            </w:r>
          </w:p>
          <w:p w:rsidR="004259DB" w:rsidRDefault="004259DB" w:rsidP="004259DB">
            <w:pPr>
              <w:rPr>
                <w:sz w:val="24"/>
                <w:szCs w:val="24"/>
              </w:rPr>
            </w:pPr>
            <w:r w:rsidRPr="004259DB">
              <w:rPr>
                <w:rFonts w:ascii="Arial" w:hAnsi="Arial" w:cs="Arial"/>
                <w:sz w:val="24"/>
                <w:szCs w:val="24"/>
              </w:rPr>
              <w:t>conocimiento privado experiencial, y el ámbito del conocimiento público académico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auto"/>
          </w:tcPr>
          <w:p w:rsidR="004259DB" w:rsidRDefault="004259DB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4259DB" w:rsidRPr="004259DB" w:rsidRDefault="004259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que cualquier ser humano pueda comprender su mundo debe conocer su realidad, su ciencia y su cultura y las diferencias que cada una de ellas tiene.</w:t>
            </w:r>
          </w:p>
        </w:tc>
      </w:tr>
    </w:tbl>
    <w:p w:rsidR="00AF5F09" w:rsidRPr="00CB77E0" w:rsidRDefault="00AF5F09" w:rsidP="004259DB">
      <w:pPr>
        <w:rPr>
          <w:sz w:val="24"/>
          <w:szCs w:val="24"/>
        </w:rPr>
      </w:pPr>
    </w:p>
    <w:sectPr w:rsidR="00AF5F09" w:rsidRPr="00CB77E0" w:rsidSect="00CB77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F5D" w:rsidRDefault="00650F5D" w:rsidP="00FD0B86">
      <w:pPr>
        <w:spacing w:after="0" w:line="240" w:lineRule="auto"/>
      </w:pPr>
      <w:r>
        <w:separator/>
      </w:r>
    </w:p>
  </w:endnote>
  <w:endnote w:type="continuationSeparator" w:id="1">
    <w:p w:rsidR="00650F5D" w:rsidRDefault="00650F5D" w:rsidP="00FD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F5D" w:rsidRDefault="00650F5D" w:rsidP="00FD0B86">
      <w:pPr>
        <w:spacing w:after="0" w:line="240" w:lineRule="auto"/>
      </w:pPr>
      <w:r>
        <w:separator/>
      </w:r>
    </w:p>
  </w:footnote>
  <w:footnote w:type="continuationSeparator" w:id="1">
    <w:p w:rsidR="00650F5D" w:rsidRDefault="00650F5D" w:rsidP="00FD0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7E0"/>
    <w:rsid w:val="004259DB"/>
    <w:rsid w:val="00650F5D"/>
    <w:rsid w:val="00AF5F09"/>
    <w:rsid w:val="00C04B15"/>
    <w:rsid w:val="00CB77E0"/>
    <w:rsid w:val="00E428B1"/>
    <w:rsid w:val="00FD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41"/>
        <o:r id="V:Rule14" type="connector" idref="#_x0000_s1040"/>
        <o:r id="V:Rule15" type="connector" idref="#_x0000_s1042"/>
        <o:r id="V:Rule16" type="connector" idref="#_x0000_s1034"/>
        <o:r id="V:Rule17" type="connector" idref="#_x0000_s1039"/>
        <o:r id="V:Rule18" type="connector" idref="#_x0000_s1043"/>
        <o:r id="V:Rule19" type="connector" idref="#_x0000_s1030"/>
        <o:r id="V:Rule20" type="connector" idref="#_x0000_s1045"/>
        <o:r id="V:Rule21" type="connector" idref="#_x0000_s1031"/>
        <o:r id="V:Rule22" type="connector" idref="#_x0000_s1038"/>
        <o:r id="V:Rule23" type="connector" idref="#_x0000_s1029"/>
        <o:r id="V:Rule24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D0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0B86"/>
  </w:style>
  <w:style w:type="paragraph" w:styleId="Piedepgina">
    <w:name w:val="footer"/>
    <w:basedOn w:val="Normal"/>
    <w:link w:val="PiedepginaCar"/>
    <w:uiPriority w:val="99"/>
    <w:semiHidden/>
    <w:unhideWhenUsed/>
    <w:rsid w:val="00FD0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D0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ZAMORA</cp:lastModifiedBy>
  <cp:revision>2</cp:revision>
  <dcterms:created xsi:type="dcterms:W3CDTF">2012-09-10T22:09:00Z</dcterms:created>
  <dcterms:modified xsi:type="dcterms:W3CDTF">2012-09-10T22:09:00Z</dcterms:modified>
</cp:coreProperties>
</file>